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DC297D" w14:textId="5216C6C1" w:rsidR="009B1611" w:rsidRPr="00333F3B" w:rsidRDefault="009B1611" w:rsidP="009B1611">
      <w:pPr>
        <w:spacing w:after="0" w:line="360" w:lineRule="auto"/>
        <w:jc w:val="center"/>
        <w:rPr>
          <w:rFonts w:ascii="Arial" w:eastAsia="Arial" w:hAnsi="Arial" w:cs="Arial"/>
          <w:sz w:val="24"/>
          <w:szCs w:val="24"/>
        </w:rPr>
      </w:pPr>
      <w:r w:rsidRPr="00333F3B">
        <w:rPr>
          <w:rFonts w:ascii="Arial" w:eastAsia="Arial" w:hAnsi="Arial" w:cs="Arial"/>
          <w:b/>
          <w:color w:val="000000"/>
          <w:sz w:val="24"/>
          <w:szCs w:val="24"/>
        </w:rPr>
        <w:t>ACTA</w:t>
      </w:r>
      <w:r w:rsidR="007B2EFA">
        <w:rPr>
          <w:rFonts w:ascii="Arial" w:eastAsia="Arial" w:hAnsi="Arial" w:cs="Arial"/>
          <w:b/>
          <w:color w:val="000000"/>
          <w:sz w:val="24"/>
          <w:szCs w:val="24"/>
        </w:rPr>
        <w:t xml:space="preserve"> 3</w:t>
      </w:r>
      <w:r w:rsidRPr="00333F3B">
        <w:rPr>
          <w:rFonts w:ascii="Arial" w:eastAsia="Arial" w:hAnsi="Arial" w:cs="Arial"/>
          <w:b/>
          <w:color w:val="000000"/>
          <w:sz w:val="24"/>
          <w:szCs w:val="24"/>
        </w:rPr>
        <w:t xml:space="preserve"> : COMITÉ INTERNO DE FORMACIÓN LOTE </w:t>
      </w:r>
      <w:r w:rsidR="007B2EFA">
        <w:rPr>
          <w:rFonts w:ascii="Arial" w:eastAsia="Arial" w:hAnsi="Arial" w:cs="Arial"/>
          <w:b/>
          <w:color w:val="000000"/>
          <w:sz w:val="24"/>
          <w:szCs w:val="24"/>
        </w:rPr>
        <w:t>9</w:t>
      </w:r>
    </w:p>
    <w:p w14:paraId="7E306FD5" w14:textId="77777777" w:rsidR="009B1611" w:rsidRPr="00333F3B" w:rsidRDefault="009B1611" w:rsidP="009B1611">
      <w:pPr>
        <w:spacing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333F3B">
        <w:rPr>
          <w:rFonts w:ascii="Arial" w:eastAsia="Arial" w:hAnsi="Arial" w:cs="Arial"/>
          <w:color w:val="000000"/>
          <w:sz w:val="24"/>
          <w:szCs w:val="24"/>
        </w:rPr>
        <w:t>Carácter:   Ordinario _</w:t>
      </w:r>
      <w:r w:rsidRPr="00333F3B">
        <w:rPr>
          <w:rFonts w:ascii="Arial" w:eastAsia="Arial" w:hAnsi="Arial" w:cs="Arial"/>
          <w:color w:val="000000"/>
          <w:sz w:val="24"/>
          <w:szCs w:val="24"/>
          <w:u w:val="single"/>
        </w:rPr>
        <w:t>__X_</w:t>
      </w:r>
      <w:r w:rsidRPr="00333F3B">
        <w:rPr>
          <w:rFonts w:ascii="Arial" w:eastAsia="Arial" w:hAnsi="Arial" w:cs="Arial"/>
          <w:color w:val="000000"/>
          <w:sz w:val="24"/>
          <w:szCs w:val="24"/>
        </w:rPr>
        <w:t xml:space="preserve">_ Extraordinario </w:t>
      </w:r>
      <w:r w:rsidRPr="00333F3B">
        <w:rPr>
          <w:rFonts w:ascii="Arial" w:eastAsia="Arial" w:hAnsi="Arial" w:cs="Arial"/>
          <w:b/>
          <w:color w:val="000000"/>
          <w:sz w:val="24"/>
          <w:szCs w:val="24"/>
        </w:rPr>
        <w:t>_________</w:t>
      </w:r>
    </w:p>
    <w:p w14:paraId="233F2CE6" w14:textId="77777777" w:rsidR="009B1611" w:rsidRPr="00333F3B" w:rsidRDefault="009B1611" w:rsidP="009B1611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 w:rsidRPr="00333F3B">
        <w:rPr>
          <w:rFonts w:ascii="Arial" w:eastAsia="Arial" w:hAnsi="Arial" w:cs="Arial"/>
          <w:b/>
          <w:color w:val="000000"/>
          <w:sz w:val="24"/>
          <w:szCs w:val="24"/>
        </w:rPr>
        <w:t>INFORMACION BÁSICA</w:t>
      </w:r>
    </w:p>
    <w:tbl>
      <w:tblPr>
        <w:tblW w:w="8781" w:type="dxa"/>
        <w:tblLayout w:type="fixed"/>
        <w:tblLook w:val="0400" w:firstRow="0" w:lastRow="0" w:firstColumn="0" w:lastColumn="0" w:noHBand="0" w:noVBand="1"/>
      </w:tblPr>
      <w:tblGrid>
        <w:gridCol w:w="411"/>
        <w:gridCol w:w="8370"/>
      </w:tblGrid>
      <w:tr w:rsidR="009B1611" w:rsidRPr="00333F3B" w14:paraId="6409568C" w14:textId="77777777" w:rsidTr="00A864DB">
        <w:trPr>
          <w:trHeight w:val="515"/>
        </w:trPr>
        <w:tc>
          <w:tcPr>
            <w:tcW w:w="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49AA4A65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24F4F28A" w14:textId="17C7092D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Fecha: </w:t>
            </w:r>
            <w:r w:rsidR="004F3A2E">
              <w:rPr>
                <w:rFonts w:ascii="Arial" w:eastAsia="Arial" w:hAnsi="Arial" w:cs="Arial"/>
                <w:color w:val="000000"/>
                <w:sz w:val="24"/>
                <w:szCs w:val="24"/>
              </w:rPr>
              <w:t>6 6 2026</w:t>
            </w:r>
          </w:p>
        </w:tc>
      </w:tr>
      <w:tr w:rsidR="009B1611" w:rsidRPr="00333F3B" w14:paraId="10875341" w14:textId="77777777" w:rsidTr="00A864DB">
        <w:tc>
          <w:tcPr>
            <w:tcW w:w="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554A1E76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bookmarkStart w:id="0" w:name="_heading=h.gjdgxs" w:colFirst="0" w:colLast="0"/>
            <w:bookmarkEnd w:id="0"/>
          </w:p>
        </w:tc>
        <w:tc>
          <w:tcPr>
            <w:tcW w:w="8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177F7A66" w14:textId="11511FE1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color w:val="000000"/>
                <w:sz w:val="24"/>
                <w:szCs w:val="24"/>
              </w:rPr>
              <w:t>Lugar:  </w:t>
            </w:r>
            <w:r w:rsidR="004F3A2E">
              <w:rPr>
                <w:rFonts w:ascii="Arial" w:eastAsia="Arial" w:hAnsi="Arial" w:cs="Arial"/>
                <w:color w:val="000000"/>
                <w:sz w:val="24"/>
                <w:szCs w:val="24"/>
              </w:rPr>
              <w:t>vIRTUAL</w:t>
            </w:r>
          </w:p>
        </w:tc>
      </w:tr>
      <w:tr w:rsidR="009B1611" w:rsidRPr="00333F3B" w14:paraId="480BC108" w14:textId="77777777" w:rsidTr="00A864DB">
        <w:tc>
          <w:tcPr>
            <w:tcW w:w="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3291A0EF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17D7ACC5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Hora planeada inicio:  9:00 AM </w:t>
            </w:r>
          </w:p>
        </w:tc>
      </w:tr>
      <w:tr w:rsidR="009B1611" w:rsidRPr="00333F3B" w14:paraId="2F9B7D42" w14:textId="77777777" w:rsidTr="00A864DB">
        <w:tc>
          <w:tcPr>
            <w:tcW w:w="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5F923FB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41E60004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color w:val="000000"/>
                <w:sz w:val="24"/>
                <w:szCs w:val="24"/>
              </w:rPr>
              <w:t>Hora planeada fin: 12:00 M</w:t>
            </w:r>
          </w:p>
        </w:tc>
      </w:tr>
    </w:tbl>
    <w:p w14:paraId="7B2124B7" w14:textId="77777777" w:rsidR="009B1611" w:rsidRPr="00333F3B" w:rsidRDefault="009B1611" w:rsidP="009B1611">
      <w:pPr>
        <w:spacing w:after="0" w:line="360" w:lineRule="auto"/>
        <w:jc w:val="both"/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418A7538" w14:textId="77777777" w:rsidR="009B1611" w:rsidRPr="00333F3B" w:rsidRDefault="009B1611" w:rsidP="009B1611">
      <w:pPr>
        <w:spacing w:after="0" w:line="360" w:lineRule="auto"/>
        <w:jc w:val="center"/>
        <w:rPr>
          <w:rFonts w:ascii="Arial" w:eastAsia="Arial" w:hAnsi="Arial" w:cs="Arial"/>
          <w:sz w:val="24"/>
          <w:szCs w:val="24"/>
        </w:rPr>
      </w:pPr>
      <w:r w:rsidRPr="00333F3B">
        <w:rPr>
          <w:rFonts w:ascii="Arial" w:eastAsia="Arial" w:hAnsi="Arial" w:cs="Arial"/>
          <w:b/>
          <w:color w:val="000000"/>
          <w:sz w:val="24"/>
          <w:szCs w:val="24"/>
        </w:rPr>
        <w:t>ASISTENCIA</w:t>
      </w:r>
    </w:p>
    <w:tbl>
      <w:tblPr>
        <w:tblW w:w="8834" w:type="dxa"/>
        <w:tblLayout w:type="fixed"/>
        <w:tblLook w:val="0400" w:firstRow="0" w:lastRow="0" w:firstColumn="0" w:lastColumn="0" w:noHBand="0" w:noVBand="1"/>
      </w:tblPr>
      <w:tblGrid>
        <w:gridCol w:w="3111"/>
        <w:gridCol w:w="2268"/>
        <w:gridCol w:w="1997"/>
        <w:gridCol w:w="696"/>
        <w:gridCol w:w="762"/>
      </w:tblGrid>
      <w:tr w:rsidR="009B1611" w:rsidRPr="00333F3B" w14:paraId="4BB82100" w14:textId="77777777" w:rsidTr="00A864DB">
        <w:tc>
          <w:tcPr>
            <w:tcW w:w="311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77BFBF2E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Nombre convocado</w:t>
            </w: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12163FC0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Cargo</w:t>
            </w:r>
          </w:p>
        </w:tc>
        <w:tc>
          <w:tcPr>
            <w:tcW w:w="199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7A985BEC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Dependencia Organización</w:t>
            </w:r>
          </w:p>
        </w:tc>
        <w:tc>
          <w:tcPr>
            <w:tcW w:w="14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420B6F42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Asistió</w:t>
            </w:r>
          </w:p>
        </w:tc>
      </w:tr>
      <w:tr w:rsidR="009B1611" w:rsidRPr="00333F3B" w14:paraId="43D9EE39" w14:textId="77777777" w:rsidTr="00A864DB">
        <w:tc>
          <w:tcPr>
            <w:tcW w:w="311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71D6D7A9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5A1C665A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99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E8F838F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32B6B7E7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SI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26B9E02D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NO</w:t>
            </w:r>
          </w:p>
        </w:tc>
      </w:tr>
      <w:tr w:rsidR="009B1611" w:rsidRPr="00333F3B" w14:paraId="24EB7064" w14:textId="77777777" w:rsidTr="00A864DB">
        <w:tc>
          <w:tcPr>
            <w:tcW w:w="3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1A94CC50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Astrid Yohana Parra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596ED71A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Coordinadora pedagógica</w:t>
            </w:r>
          </w:p>
        </w:tc>
        <w:tc>
          <w:tcPr>
            <w:tcW w:w="1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14:paraId="0C3EE993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649359CF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3E936E4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B1611" w:rsidRPr="00333F3B" w14:paraId="5B533D99" w14:textId="77777777" w:rsidTr="00A864DB">
        <w:tc>
          <w:tcPr>
            <w:tcW w:w="3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77438291" w14:textId="77777777" w:rsidR="009B1611" w:rsidRPr="00333F3B" w:rsidRDefault="009B1611" w:rsidP="00A864DB">
            <w:pPr>
              <w:spacing w:after="0" w:line="360" w:lineRule="auto"/>
              <w:ind w:right="-103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Edwin Montoya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73F4F77F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17C7C909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66782885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2AB776BF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B1611" w:rsidRPr="00333F3B" w14:paraId="45CEABBD" w14:textId="77777777" w:rsidTr="00A864DB">
        <w:trPr>
          <w:trHeight w:val="240"/>
        </w:trPr>
        <w:tc>
          <w:tcPr>
            <w:tcW w:w="3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236F09F9" w14:textId="77777777" w:rsidR="009B1611" w:rsidRPr="00333F3B" w:rsidRDefault="009B1611" w:rsidP="00A864DB">
            <w:pPr>
              <w:spacing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Claudia Garcés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75DE64CE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6FCE1A62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50D72301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6866AB83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B1611" w:rsidRPr="00333F3B" w14:paraId="4D58E0AB" w14:textId="77777777" w:rsidTr="00A864DB">
        <w:trPr>
          <w:trHeight w:val="240"/>
        </w:trPr>
        <w:tc>
          <w:tcPr>
            <w:tcW w:w="3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249F41C3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Yesid Aristizabal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CAA8FFD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Administrativo</w:t>
            </w:r>
          </w:p>
        </w:tc>
        <w:tc>
          <w:tcPr>
            <w:tcW w:w="19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6628E97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0E04FABE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333F3B">
              <w:rPr>
                <w:rFonts w:ascii="Arial" w:eastAsia="Arial" w:hAnsi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14:paraId="7014143A" w14:textId="77777777" w:rsidR="009B1611" w:rsidRPr="00333F3B" w:rsidRDefault="009B1611" w:rsidP="00A864DB">
            <w:pPr>
              <w:spacing w:after="0" w:line="36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65AFD3AA" w14:textId="5DF3629A" w:rsidR="009B1611" w:rsidRPr="00333F3B" w:rsidRDefault="006950D0" w:rsidP="009B1611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noProof/>
          <w:sz w:val="24"/>
          <w:szCs w:val="24"/>
        </w:rPr>
        <w:lastRenderedPageBreak/>
        <w:drawing>
          <wp:inline distT="0" distB="0" distL="0" distR="0" wp14:anchorId="1685FD00" wp14:editId="53C172D5">
            <wp:extent cx="3033038" cy="6566793"/>
            <wp:effectExtent l="0" t="0" r="0" b="5715"/>
            <wp:docPr id="176976415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744" cy="6576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B1611" w:rsidRPr="00333F3B">
        <w:rPr>
          <w:rFonts w:ascii="Arial" w:eastAsia="Arial" w:hAnsi="Arial" w:cs="Arial"/>
          <w:sz w:val="24"/>
          <w:szCs w:val="24"/>
        </w:rPr>
        <w:br/>
      </w:r>
    </w:p>
    <w:p w14:paraId="25580EE8" w14:textId="77777777" w:rsidR="009B1611" w:rsidRPr="00333F3B" w:rsidRDefault="009B1611" w:rsidP="009B1611">
      <w:pPr>
        <w:spacing w:after="0" w:line="360" w:lineRule="auto"/>
        <w:jc w:val="both"/>
        <w:rPr>
          <w:rFonts w:ascii="Arial" w:eastAsia="Arial" w:hAnsi="Arial" w:cs="Arial"/>
          <w:sz w:val="24"/>
          <w:szCs w:val="24"/>
        </w:rPr>
      </w:pPr>
    </w:p>
    <w:p w14:paraId="6526B1C1" w14:textId="77777777" w:rsidR="009F69B2" w:rsidRPr="009F69B2" w:rsidRDefault="009F69B2" w:rsidP="009F69B2">
      <w:pPr>
        <w:spacing w:line="360" w:lineRule="auto"/>
        <w:rPr>
          <w:rFonts w:ascii="Arial" w:eastAsia="Times New Roman" w:hAnsi="Arial" w:cs="Arial"/>
          <w:b/>
          <w:bCs/>
          <w:sz w:val="24"/>
          <w:szCs w:val="24"/>
        </w:rPr>
      </w:pPr>
      <w:r w:rsidRPr="009F69B2">
        <w:rPr>
          <w:rFonts w:ascii="Arial" w:eastAsia="Times New Roman" w:hAnsi="Arial" w:cs="Arial"/>
          <w:b/>
          <w:bCs/>
          <w:sz w:val="24"/>
          <w:szCs w:val="24"/>
        </w:rPr>
        <w:t>Desarrollo de la reunión</w:t>
      </w:r>
    </w:p>
    <w:p w14:paraId="187E35B9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1. Revisión de materiales e insumos para los laboratorios</w:t>
      </w:r>
    </w:p>
    <w:p w14:paraId="3CDFB04E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lastRenderedPageBreak/>
        <w:t>Como primer punto se realizó una revisión general de los materiales requeridos para el desarrollo de los cinco laboratorios contemplados dentro del Lote 9:</w:t>
      </w:r>
    </w:p>
    <w:p w14:paraId="6C7B7FB8" w14:textId="77777777" w:rsidR="009F69B2" w:rsidRPr="009F69B2" w:rsidRDefault="009F69B2" w:rsidP="009F69B2">
      <w:pPr>
        <w:numPr>
          <w:ilvl w:val="0"/>
          <w:numId w:val="7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Laboratorio Infantil de Circo Contemporáneo – Elemental Teatro. </w:t>
      </w:r>
    </w:p>
    <w:p w14:paraId="58DF9873" w14:textId="77777777" w:rsidR="009F69B2" w:rsidRPr="009F69B2" w:rsidRDefault="009F69B2" w:rsidP="009F69B2">
      <w:pPr>
        <w:numPr>
          <w:ilvl w:val="0"/>
          <w:numId w:val="7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Laboratorio de Circo Contemporáneo – Institución Educativa Santa Elena. </w:t>
      </w:r>
    </w:p>
    <w:p w14:paraId="14E84F1E" w14:textId="77777777" w:rsidR="009F69B2" w:rsidRPr="009F69B2" w:rsidRDefault="009F69B2" w:rsidP="009F69B2">
      <w:pPr>
        <w:numPr>
          <w:ilvl w:val="0"/>
          <w:numId w:val="7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Laboratorio Infantil Colores del Circo – Casa de la Cultura Los Colores. </w:t>
      </w:r>
    </w:p>
    <w:p w14:paraId="2F2FF57C" w14:textId="77777777" w:rsidR="009F69B2" w:rsidRPr="009F69B2" w:rsidRDefault="009F69B2" w:rsidP="009F69B2">
      <w:pPr>
        <w:numPr>
          <w:ilvl w:val="0"/>
          <w:numId w:val="7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Laboratorio de Circo Contemporáneo y Performatividad Clownesca – Centro Cultural de Moravia. </w:t>
      </w:r>
    </w:p>
    <w:p w14:paraId="5DE969BE" w14:textId="77777777" w:rsidR="009F69B2" w:rsidRPr="009F69B2" w:rsidRDefault="009F69B2" w:rsidP="009F69B2">
      <w:pPr>
        <w:numPr>
          <w:ilvl w:val="0"/>
          <w:numId w:val="7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Laboratorio Interdisciplinar de Maquillaje para Circo Contemporáneo – Centro Cultural Facultad de Artes. </w:t>
      </w:r>
    </w:p>
    <w:p w14:paraId="5E8A73BD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Se revisaron los insumos existentes y las necesidades particulares de cada proceso, identificando requerimientos asociados a elementos circenses, materiales para exploración corporal, recursos de creación escénica, elementos para ejercicios de clown, objetos para dinámicas de manipulación y materiales especializados para el laboratorio de maquillaje.</w:t>
      </w:r>
    </w:p>
    <w:p w14:paraId="00871213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Asimismo, se discutió la importancia de priorizar materiales versátiles que permitieran ser utilizados en diferentes momentos metodológicos y facilitaran procesos de creación colectiva con distintos grupos poblacionales.</w:t>
      </w:r>
    </w:p>
    <w:p w14:paraId="58CD1268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Se acordó realizar una proyección detallada de necesidades por laboratorio con el fin de optimizar recursos y garantizar la disponibilidad de los insumos necesarios para el adecuado desarrollo de las actividades durante la vigencia 2026.</w:t>
      </w:r>
    </w:p>
    <w:p w14:paraId="4E47FFC4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pict w14:anchorId="068F1819">
          <v:rect id="_x0000_i1049" style="width:0;height:1.5pt" o:hralign="center" o:hrstd="t" o:hr="t" fillcolor="#a0a0a0" stroked="f"/>
        </w:pict>
      </w:r>
    </w:p>
    <w:p w14:paraId="3B2BDB4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2. Revisión de condiciones territoriales para la implementación de los laboratorios</w:t>
      </w:r>
    </w:p>
    <w:p w14:paraId="1C88A4F7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Posteriormente se realizó una revisión de las condiciones específicas de cada uno de los territorios donde se desarrollarían los procesos.</w:t>
      </w:r>
    </w:p>
    <w:p w14:paraId="412D4D9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lastRenderedPageBreak/>
        <w:t>Se compartieron avances de las conversaciones sostenidas con los responsables de los equipamientos culturales y con los actores territoriales que acompañan la implementación de los laboratorios.</w:t>
      </w:r>
    </w:p>
    <w:p w14:paraId="0206FDC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Se destacó el proceso de articulación desarrollado con:</w:t>
      </w:r>
    </w:p>
    <w:p w14:paraId="6142F6FD" w14:textId="77777777" w:rsidR="009F69B2" w:rsidRPr="009F69B2" w:rsidRDefault="009F69B2" w:rsidP="009F69B2">
      <w:pPr>
        <w:numPr>
          <w:ilvl w:val="0"/>
          <w:numId w:val="8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John Viana, director de Elemental Teatro. </w:t>
      </w:r>
    </w:p>
    <w:p w14:paraId="610A2220" w14:textId="77777777" w:rsidR="009F69B2" w:rsidRPr="009F69B2" w:rsidRDefault="009F69B2" w:rsidP="009F69B2">
      <w:pPr>
        <w:numPr>
          <w:ilvl w:val="0"/>
          <w:numId w:val="8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Carolina, directora del Centro Cultural de Moravia. </w:t>
      </w:r>
    </w:p>
    <w:p w14:paraId="5CCC0AC7" w14:textId="77777777" w:rsidR="009F69B2" w:rsidRPr="009F69B2" w:rsidRDefault="009F69B2" w:rsidP="009F69B2">
      <w:pPr>
        <w:numPr>
          <w:ilvl w:val="0"/>
          <w:numId w:val="8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El equipo responsable de la Casa de la Cultura Los Colores. </w:t>
      </w:r>
    </w:p>
    <w:p w14:paraId="1AC65660" w14:textId="77777777" w:rsidR="009F69B2" w:rsidRPr="009F69B2" w:rsidRDefault="009F69B2" w:rsidP="009F69B2">
      <w:pPr>
        <w:numPr>
          <w:ilvl w:val="0"/>
          <w:numId w:val="8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Niyereth Velásquez, coordinadora académica de la Institución Educativa Santa Elena. </w:t>
      </w:r>
    </w:p>
    <w:p w14:paraId="45EC71CC" w14:textId="77777777" w:rsidR="009F69B2" w:rsidRPr="009F69B2" w:rsidRDefault="009F69B2" w:rsidP="009F69B2">
      <w:pPr>
        <w:numPr>
          <w:ilvl w:val="0"/>
          <w:numId w:val="8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El equipo del Centro Cultural Facultad de Artes de la Universidad de Antioquia. </w:t>
      </w:r>
    </w:p>
    <w:p w14:paraId="1AD67F8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Estas articulaciones permitieron avanzar en aspectos relacionados con espacios físicos, convocatorias, horarios, circulación de información y acompañamiento institucional.</w:t>
      </w:r>
    </w:p>
    <w:p w14:paraId="31E7C892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pict w14:anchorId="3A9C39D8">
          <v:rect id="_x0000_i1050" style="width:0;height:1.5pt" o:hralign="center" o:hrstd="t" o:hr="t" fillcolor="#a0a0a0" stroked="f"/>
        </w:pict>
      </w:r>
    </w:p>
    <w:p w14:paraId="2406510C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3. Situación del laboratorio de la Institución Educativa Santa Elena</w:t>
      </w:r>
    </w:p>
    <w:p w14:paraId="21600231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Uno de los temas centrales de la reunión estuvo relacionado con la implementación del laboratorio de circo contemporáneo en la Institución Educativa Santa Elena.</w:t>
      </w:r>
    </w:p>
    <w:p w14:paraId="7B40DA8E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Inicialmente se había proyectado desarrollar el proceso dentro de la jornada escolar, mediante encuentros programados en dos sesiones semanales. Sin embargo, luego de las conversaciones sostenidas con la coordinación académica y de analizar la estructura curricular de la institución, se evidenció que esta modalidad presentaba importantes dificultades operativas.</w:t>
      </w:r>
    </w:p>
    <w:p w14:paraId="020D61BE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Entre los aspectos identificados se encontraron:</w:t>
      </w:r>
    </w:p>
    <w:p w14:paraId="566B55B8" w14:textId="77777777" w:rsidR="009F69B2" w:rsidRPr="009F69B2" w:rsidRDefault="009F69B2" w:rsidP="009F69B2">
      <w:pPr>
        <w:numPr>
          <w:ilvl w:val="0"/>
          <w:numId w:val="9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 imposibilidad de retirar estudiantes de manera recurrente de sus clases regulares. </w:t>
      </w:r>
    </w:p>
    <w:p w14:paraId="6EC44750" w14:textId="77777777" w:rsidR="009F69B2" w:rsidRPr="009F69B2" w:rsidRDefault="009F69B2" w:rsidP="009F69B2">
      <w:pPr>
        <w:numPr>
          <w:ilvl w:val="0"/>
          <w:numId w:val="9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lastRenderedPageBreak/>
        <w:t xml:space="preserve">La afectación de procesos académicos propios de cada grupo. </w:t>
      </w:r>
    </w:p>
    <w:p w14:paraId="7AF0C63D" w14:textId="77777777" w:rsidR="009F69B2" w:rsidRPr="009F69B2" w:rsidRDefault="009F69B2" w:rsidP="009F69B2">
      <w:pPr>
        <w:numPr>
          <w:ilvl w:val="0"/>
          <w:numId w:val="9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Las limitaciones para coordinar horarios compatibles con las distintas jornadas escolares. </w:t>
      </w:r>
    </w:p>
    <w:p w14:paraId="01F20DDF" w14:textId="77777777" w:rsidR="009F69B2" w:rsidRPr="009F69B2" w:rsidRDefault="009F69B2" w:rsidP="009F69B2">
      <w:pPr>
        <w:numPr>
          <w:ilvl w:val="0"/>
          <w:numId w:val="9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Las dificultades para garantizar la asistencia permanente de los participantes durante el horario académico. </w:t>
      </w:r>
    </w:p>
    <w:p w14:paraId="3E0AD34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A partir de este análisis se concluyó que no era viable desarrollar el laboratorio dentro de la jornada escolar ordinaria.</w:t>
      </w:r>
    </w:p>
    <w:p w14:paraId="4058AF54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Como alternativa se acordó reestructurar la propuesta y trasladar el proceso a una jornada extracurricular, permitiendo que la participación fuera voluntaria y no interfiriera con las actividades académicas de los estudiantes.</w:t>
      </w:r>
    </w:p>
    <w:p w14:paraId="254AF425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Esta decisión permitió fortalecer la viabilidad del proyecto y generar mejores condiciones para la permanencia y el compromiso de los participantes.</w:t>
      </w:r>
    </w:p>
    <w:p w14:paraId="478505FC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Posteriormente se avanzó en la construcción de una propuesta horaria ajustada a las dinámicas institucionales y territoriales, definiéndose la realización del laboratorio los miércoles en jornada de la tarde.</w:t>
      </w:r>
    </w:p>
    <w:p w14:paraId="55436684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pict w14:anchorId="1663E73E">
          <v:rect id="_x0000_i1051" style="width:0;height:1.5pt" o:hralign="center" o:hrstd="t" o:hr="t" fillcolor="#a0a0a0" stroked="f"/>
        </w:pict>
      </w:r>
    </w:p>
    <w:p w14:paraId="15C0CB38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4. Estrategias de convocatoria</w:t>
      </w:r>
    </w:p>
    <w:p w14:paraId="2040E116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Se revisaron las estrategias de movilización y convocatoria previstas para cada laboratorio.</w:t>
      </w:r>
    </w:p>
    <w:p w14:paraId="7407D63E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Entre las acciones definidas se incluyeron:</w:t>
      </w:r>
    </w:p>
    <w:p w14:paraId="6BB2ECC6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Difusión mediante redes sociales. </w:t>
      </w:r>
    </w:p>
    <w:p w14:paraId="4A3269A1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Circulación de piezas gráficas. </w:t>
      </w:r>
    </w:p>
    <w:p w14:paraId="0B0B2F84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Contacto directo con familias y participantes de procesos anteriores. </w:t>
      </w:r>
    </w:p>
    <w:p w14:paraId="472A8F41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Convocatorias en instituciones educativas. </w:t>
      </w:r>
    </w:p>
    <w:p w14:paraId="46C68236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lastRenderedPageBreak/>
        <w:t xml:space="preserve">Presentación presencial de los laboratorios en los territorios. </w:t>
      </w:r>
    </w:p>
    <w:p w14:paraId="487E240A" w14:textId="77777777" w:rsidR="009F69B2" w:rsidRPr="009F69B2" w:rsidRDefault="009F69B2" w:rsidP="009F69B2">
      <w:pPr>
        <w:numPr>
          <w:ilvl w:val="0"/>
          <w:numId w:val="10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Articulación con líderes comunitarios y agentes culturales. </w:t>
      </w:r>
    </w:p>
    <w:p w14:paraId="2A3965FB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Para el caso específico de la Institución Educativa Santa Elena se acordó realizar recorridos por los diferentes grupos de secundaria para presentar la propuesta directamente a los estudiantes e identificar posibles participantes interesados.</w:t>
      </w:r>
    </w:p>
    <w:p w14:paraId="770A198F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pict w14:anchorId="11AAEBD9">
          <v:rect id="_x0000_i1052" style="width:0;height:1.5pt" o:hralign="center" o:hrstd="t" o:hr="t" fillcolor="#a0a0a0" stroked="f"/>
        </w:pict>
      </w:r>
    </w:p>
    <w:p w14:paraId="598378CF" w14:textId="77777777" w:rsidR="009F69B2" w:rsidRPr="009F69B2" w:rsidRDefault="009F69B2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Conclusiones y acuerdos</w:t>
      </w:r>
    </w:p>
    <w:p w14:paraId="23BE92C4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Se revisaron las necesidades iniciales de materiales e insumos para los cinco laboratorios del Lote 9. </w:t>
      </w:r>
    </w:p>
    <w:p w14:paraId="61111C74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Se consolidaron las articulaciones institucionales necesarias para el inicio de los procesos en los diferentes territorios. </w:t>
      </w:r>
    </w:p>
    <w:p w14:paraId="687D7145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Se determinó que el laboratorio de la Institución Educativa Santa Elena no podía desarrollarse dentro de la jornada escolar debido a restricciones académicas y administrativas. </w:t>
      </w:r>
    </w:p>
    <w:p w14:paraId="2F6F49D2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Se acordó trasladar el laboratorio a una modalidad extracurricular en horario de tarde, favoreciendo una participación más estable y voluntaria. </w:t>
      </w:r>
    </w:p>
    <w:p w14:paraId="5B6FCA64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 xml:space="preserve">Se definieron estrategias de convocatoria territorial para garantizar la conformación de los grupos de participantes. </w:t>
      </w:r>
    </w:p>
    <w:p w14:paraId="6AB434A5" w14:textId="77777777" w:rsidR="009F69B2" w:rsidRPr="009F69B2" w:rsidRDefault="009F69B2" w:rsidP="009F69B2">
      <w:pPr>
        <w:numPr>
          <w:ilvl w:val="0"/>
          <w:numId w:val="11"/>
        </w:num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  <w:r w:rsidRPr="009F69B2">
        <w:rPr>
          <w:rFonts w:ascii="Arial" w:eastAsia="Times New Roman" w:hAnsi="Arial" w:cs="Arial"/>
          <w:sz w:val="24"/>
          <w:szCs w:val="24"/>
        </w:rPr>
        <w:t>Se estableció la necesidad de mantener una comunicación permanente entre artistas formadores, coordinadores y responsables de los espacios para atender oportunamente los requerimientos logísticos y pedagógicos que surgieran durante la implementación de los laboratorios.</w:t>
      </w:r>
    </w:p>
    <w:p w14:paraId="3E408E35" w14:textId="62078418" w:rsidR="009B1611" w:rsidRPr="009F69B2" w:rsidRDefault="009B1611" w:rsidP="009F69B2">
      <w:pPr>
        <w:spacing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sectPr w:rsidR="009B1611" w:rsidRPr="009F69B2">
      <w:headerReference w:type="default" r:id="rId11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9AABD" w14:textId="77777777" w:rsidR="00847C96" w:rsidRDefault="00847C96">
      <w:pPr>
        <w:spacing w:after="0" w:line="240" w:lineRule="auto"/>
      </w:pPr>
      <w:r>
        <w:separator/>
      </w:r>
    </w:p>
  </w:endnote>
  <w:endnote w:type="continuationSeparator" w:id="0">
    <w:p w14:paraId="2440B557" w14:textId="77777777" w:rsidR="00847C96" w:rsidRDefault="00847C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94A26" w14:textId="77777777" w:rsidR="00847C96" w:rsidRDefault="00847C96">
      <w:pPr>
        <w:spacing w:after="0" w:line="240" w:lineRule="auto"/>
      </w:pPr>
      <w:r>
        <w:separator/>
      </w:r>
    </w:p>
  </w:footnote>
  <w:footnote w:type="continuationSeparator" w:id="0">
    <w:p w14:paraId="76B962CD" w14:textId="77777777" w:rsidR="00847C96" w:rsidRDefault="00847C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19A7E" w14:textId="77777777" w:rsidR="00847C96" w:rsidRDefault="009B161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17716D45" wp14:editId="7579B945">
          <wp:simplePos x="0" y="0"/>
          <wp:positionH relativeFrom="column">
            <wp:posOffset>1828165</wp:posOffset>
          </wp:positionH>
          <wp:positionV relativeFrom="paragraph">
            <wp:posOffset>-309880</wp:posOffset>
          </wp:positionV>
          <wp:extent cx="590550" cy="755650"/>
          <wp:effectExtent l="0" t="0" r="0" b="635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24440" t="23657" r="52206" b="28304"/>
                  <a:stretch>
                    <a:fillRect/>
                  </a:stretch>
                </pic:blipFill>
                <pic:spPr>
                  <a:xfrm>
                    <a:off x="0" y="0"/>
                    <a:ext cx="590550" cy="755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9C577AA" wp14:editId="078C884E">
          <wp:simplePos x="0" y="0"/>
          <wp:positionH relativeFrom="margin">
            <wp:posOffset>817880</wp:posOffset>
          </wp:positionH>
          <wp:positionV relativeFrom="paragraph">
            <wp:posOffset>-360680</wp:posOffset>
          </wp:positionV>
          <wp:extent cx="704850" cy="800100"/>
          <wp:effectExtent l="0" t="0" r="0" b="0"/>
          <wp:wrapSquare wrapText="bothSides" distT="0" distB="0" distL="114300" distR="114300"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l="24575" t="25589" r="53157" b="25165"/>
                  <a:stretch>
                    <a:fillRect/>
                  </a:stretch>
                </pic:blipFill>
                <pic:spPr>
                  <a:xfrm>
                    <a:off x="0" y="0"/>
                    <a:ext cx="704850" cy="800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3555E01E" wp14:editId="3A83B930">
          <wp:simplePos x="0" y="0"/>
          <wp:positionH relativeFrom="column">
            <wp:posOffset>3700145</wp:posOffset>
          </wp:positionH>
          <wp:positionV relativeFrom="paragraph">
            <wp:posOffset>-306070</wp:posOffset>
          </wp:positionV>
          <wp:extent cx="1577340" cy="868680"/>
          <wp:effectExtent l="0" t="0" r="0" b="0"/>
          <wp:wrapSquare wrapText="bothSides" distT="0" distB="0" distL="114300" distR="114300"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3"/>
                  <a:srcRect l="35166" t="28726" r="36727" b="43753"/>
                  <a:stretch>
                    <a:fillRect/>
                  </a:stretch>
                </pic:blipFill>
                <pic:spPr>
                  <a:xfrm>
                    <a:off x="0" y="0"/>
                    <a:ext cx="1577340" cy="8686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C2A64"/>
    <w:multiLevelType w:val="multilevel"/>
    <w:tmpl w:val="D88CEA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DE515B"/>
    <w:multiLevelType w:val="multilevel"/>
    <w:tmpl w:val="BEE60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752D6B"/>
    <w:multiLevelType w:val="multilevel"/>
    <w:tmpl w:val="1D20B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D6749"/>
    <w:multiLevelType w:val="multilevel"/>
    <w:tmpl w:val="5E149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362AC3"/>
    <w:multiLevelType w:val="multilevel"/>
    <w:tmpl w:val="8CF87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13B1396"/>
    <w:multiLevelType w:val="multilevel"/>
    <w:tmpl w:val="4AD42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5972D1D"/>
    <w:multiLevelType w:val="multilevel"/>
    <w:tmpl w:val="BBECD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406518A"/>
    <w:multiLevelType w:val="multilevel"/>
    <w:tmpl w:val="AF806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10F76A5"/>
    <w:multiLevelType w:val="multilevel"/>
    <w:tmpl w:val="DDEC2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C8D5B10"/>
    <w:multiLevelType w:val="multilevel"/>
    <w:tmpl w:val="74009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6D7B4B"/>
    <w:multiLevelType w:val="multilevel"/>
    <w:tmpl w:val="611A8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15696145">
    <w:abstractNumId w:val="10"/>
  </w:num>
  <w:num w:numId="2" w16cid:durableId="1130511865">
    <w:abstractNumId w:val="9"/>
  </w:num>
  <w:num w:numId="3" w16cid:durableId="1838106020">
    <w:abstractNumId w:val="7"/>
  </w:num>
  <w:num w:numId="4" w16cid:durableId="1561941090">
    <w:abstractNumId w:val="8"/>
  </w:num>
  <w:num w:numId="5" w16cid:durableId="636838188">
    <w:abstractNumId w:val="1"/>
  </w:num>
  <w:num w:numId="6" w16cid:durableId="580531757">
    <w:abstractNumId w:val="6"/>
  </w:num>
  <w:num w:numId="7" w16cid:durableId="2023433401">
    <w:abstractNumId w:val="3"/>
  </w:num>
  <w:num w:numId="8" w16cid:durableId="1867063177">
    <w:abstractNumId w:val="2"/>
  </w:num>
  <w:num w:numId="9" w16cid:durableId="1897281652">
    <w:abstractNumId w:val="4"/>
  </w:num>
  <w:num w:numId="10" w16cid:durableId="1403865917">
    <w:abstractNumId w:val="0"/>
  </w:num>
  <w:num w:numId="11" w16cid:durableId="30697787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1611"/>
    <w:rsid w:val="00062703"/>
    <w:rsid w:val="002E1132"/>
    <w:rsid w:val="004F3A2E"/>
    <w:rsid w:val="00642D3B"/>
    <w:rsid w:val="006950D0"/>
    <w:rsid w:val="007B2EFA"/>
    <w:rsid w:val="00847C96"/>
    <w:rsid w:val="0089069D"/>
    <w:rsid w:val="009B1611"/>
    <w:rsid w:val="009F6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43B8E"/>
  <w15:chartTrackingRefBased/>
  <w15:docId w15:val="{831FB2CC-E871-4395-8784-BA8762D62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1611"/>
    <w:rPr>
      <w:rFonts w:ascii="Calibri" w:eastAsia="Calibri" w:hAnsi="Calibri" w:cs="Calibri"/>
      <w:lang w:val="es-CO"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062703"/>
    <w:pPr>
      <w:keepNext/>
      <w:keepLines/>
      <w:spacing w:before="240" w:after="0"/>
      <w:jc w:val="center"/>
      <w:outlineLvl w:val="0"/>
    </w:pPr>
    <w:rPr>
      <w:rFonts w:ascii="Times New Roman" w:eastAsiaTheme="majorEastAsia" w:hAnsi="Times New Roman" w:cstheme="majorBidi"/>
      <w:b/>
      <w:color w:val="000000" w:themeColor="text1"/>
      <w:kern w:val="2"/>
      <w:sz w:val="24"/>
      <w:szCs w:val="32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F69B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F69B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62703"/>
    <w:rPr>
      <w:rFonts w:ascii="Times New Roman" w:eastAsiaTheme="majorEastAsia" w:hAnsi="Times New Roman" w:cstheme="majorBidi"/>
      <w:b/>
      <w:color w:val="000000" w:themeColor="text1"/>
      <w:kern w:val="2"/>
      <w:sz w:val="24"/>
      <w:szCs w:val="32"/>
      <w:lang w:val="es-CO"/>
      <w14:ligatures w14:val="standardContextual"/>
    </w:rPr>
  </w:style>
  <w:style w:type="paragraph" w:styleId="NormalWeb">
    <w:name w:val="Normal (Web)"/>
    <w:basedOn w:val="Normal"/>
    <w:uiPriority w:val="99"/>
    <w:semiHidden/>
    <w:unhideWhenUsed/>
    <w:rsid w:val="009B16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Fuerte">
    <w:name w:val="Strong"/>
    <w:basedOn w:val="Fuentedeprrafopredeter"/>
    <w:uiPriority w:val="22"/>
    <w:qFormat/>
    <w:rsid w:val="009B1611"/>
    <w:rPr>
      <w:b/>
      <w:bCs/>
    </w:rPr>
  </w:style>
  <w:style w:type="character" w:styleId="nfasis">
    <w:name w:val="Emphasis"/>
    <w:basedOn w:val="Fuentedeprrafopredeter"/>
    <w:uiPriority w:val="20"/>
    <w:qFormat/>
    <w:rsid w:val="009B1611"/>
    <w:rPr>
      <w:i/>
      <w:iCs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F69B2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CO" w:eastAsia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F69B2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C1ABAFF7B98C74B8115279C2D8A6443" ma:contentTypeVersion="17" ma:contentTypeDescription="Crear nuevo documento." ma:contentTypeScope="" ma:versionID="4d9d4fe2b7be7fa00ab4a23dfc72ee2f">
  <xsd:schema xmlns:xsd="http://www.w3.org/2001/XMLSchema" xmlns:xs="http://www.w3.org/2001/XMLSchema" xmlns:p="http://schemas.microsoft.com/office/2006/metadata/properties" xmlns:ns3="a34598a8-8c2d-4b43-886c-4a26e950f59b" xmlns:ns4="eb746948-df89-44e0-9da9-dc09407422f7" targetNamespace="http://schemas.microsoft.com/office/2006/metadata/properties" ma:root="true" ma:fieldsID="6295de20e87d40b5f16084dc40591558" ns3:_="" ns4:_="">
    <xsd:import namespace="a34598a8-8c2d-4b43-886c-4a26e950f59b"/>
    <xsd:import namespace="eb746948-df89-44e0-9da9-dc09407422f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  <xsd:element ref="ns4:MediaServiceObjectDetectorVersions" minOccurs="0"/>
                <xsd:element ref="ns4:MediaServiceLocation" minOccurs="0"/>
                <xsd:element ref="ns4:MediaServiceSystemTags" minOccurs="0"/>
                <xsd:element ref="ns4:MediaServiceSearchProperties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4598a8-8c2d-4b43-886c-4a26e950f59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746948-df89-44e0-9da9-dc09407422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b746948-df89-44e0-9da9-dc09407422f7" xsi:nil="true"/>
  </documentManagement>
</p:properties>
</file>

<file path=customXml/itemProps1.xml><?xml version="1.0" encoding="utf-8"?>
<ds:datastoreItem xmlns:ds="http://schemas.openxmlformats.org/officeDocument/2006/customXml" ds:itemID="{2738D480-EB8A-4523-A67B-026BEC120A9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968B903-7E38-418A-9C62-57FAD063B3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4598a8-8c2d-4b43-886c-4a26e950f59b"/>
    <ds:schemaRef ds:uri="eb746948-df89-44e0-9da9-dc09407422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F9CABFA-D45D-4C1C-9E6D-59E694269B94}">
  <ds:schemaRefs>
    <ds:schemaRef ds:uri="http://schemas.microsoft.com/office/2006/metadata/properties"/>
    <ds:schemaRef ds:uri="http://schemas.microsoft.com/office/infopath/2007/PartnerControls"/>
    <ds:schemaRef ds:uri="eb746948-df89-44e0-9da9-dc09407422f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977</Words>
  <Characters>5377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YOHANA PARRA OSPINA</dc:creator>
  <cp:keywords/>
  <dc:description/>
  <cp:lastModifiedBy>Yohana P.</cp:lastModifiedBy>
  <cp:revision>6</cp:revision>
  <dcterms:created xsi:type="dcterms:W3CDTF">2025-08-12T20:29:00Z</dcterms:created>
  <dcterms:modified xsi:type="dcterms:W3CDTF">2026-06-18T03:10:00Z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0x0101005C1ABAFF7B98C74B8115279C2D8A6443</vt:lpwstr>
  </property>
</Properties>
</file>